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ascii="黑体" w:hAnsi="黑体" w:eastAsia="黑体" w:cs="仿宋"/>
          <w:snapToGrid w:val="0"/>
          <w:kern w:val="0"/>
          <w:sz w:val="32"/>
          <w:szCs w:val="32"/>
        </w:rPr>
      </w:pPr>
      <w:r>
        <w:rPr>
          <w:rFonts w:hint="eastAsia" w:ascii="黑体" w:hAnsi="黑体" w:eastAsia="黑体" w:cs="仿宋"/>
          <w:snapToGrid w:val="0"/>
          <w:kern w:val="0"/>
          <w:sz w:val="32"/>
          <w:szCs w:val="32"/>
        </w:rPr>
        <w:t>附件1</w:t>
      </w:r>
    </w:p>
    <w:p>
      <w:pPr>
        <w:jc w:val="center"/>
        <w:rPr>
          <w:rFonts w:ascii="宋体" w:hAnsi="宋体" w:eastAsia="宋体" w:cs="宋体"/>
          <w:b/>
          <w:bCs/>
          <w:sz w:val="28"/>
          <w:szCs w:val="28"/>
        </w:rPr>
      </w:pPr>
      <w:r>
        <w:rPr>
          <w:rFonts w:hint="eastAsia" w:ascii="方正小标宋简体" w:hAnsi="仿宋" w:eastAsia="方正小标宋简体" w:cs="仿宋"/>
          <w:snapToGrid w:val="0"/>
          <w:kern w:val="0"/>
          <w:sz w:val="44"/>
          <w:szCs w:val="44"/>
        </w:rPr>
        <w:t>采购设备详细技术参数及要求</w:t>
      </w:r>
    </w:p>
    <w:p>
      <w:pPr>
        <w:rPr>
          <w:rFonts w:ascii="宋体" w:hAnsi="宋体" w:eastAsia="宋体" w:cs="宋体"/>
          <w:b/>
          <w:bCs/>
          <w:sz w:val="28"/>
          <w:szCs w:val="28"/>
        </w:rPr>
      </w:pPr>
    </w:p>
    <w:p>
      <w:pPr>
        <w:rPr>
          <w:rFonts w:ascii="宋体" w:hAnsi="宋体" w:eastAsia="宋体" w:cs="宋体"/>
          <w:sz w:val="18"/>
          <w:szCs w:val="18"/>
        </w:rPr>
      </w:pPr>
      <w:r>
        <w:rPr>
          <w:rFonts w:hint="eastAsia" w:ascii="宋体" w:hAnsi="宋体" w:eastAsia="宋体" w:cs="宋体"/>
          <w:b/>
          <w:bCs/>
          <w:sz w:val="28"/>
          <w:szCs w:val="28"/>
        </w:rPr>
        <w:t>1、</w:t>
      </w:r>
      <w:r>
        <w:rPr>
          <w:rFonts w:hint="eastAsia" w:ascii="宋体" w:hAnsi="宋体" w:cs="宋体"/>
          <w:b/>
          <w:bCs/>
          <w:sz w:val="28"/>
          <w:szCs w:val="28"/>
        </w:rPr>
        <w:t>天融信NGFW4000系列</w:t>
      </w:r>
      <w:r>
        <w:rPr>
          <w:rFonts w:hint="eastAsia" w:ascii="宋体" w:hAnsi="宋体" w:eastAsia="宋体" w:cs="宋体"/>
          <w:b/>
          <w:bCs/>
          <w:sz w:val="28"/>
          <w:szCs w:val="28"/>
        </w:rPr>
        <w:t>防火墙   打★为</w:t>
      </w:r>
      <w:r>
        <w:rPr>
          <w:rFonts w:hint="eastAsia" w:ascii="宋体" w:hAnsi="宋体" w:cs="宋体"/>
          <w:b/>
          <w:bCs/>
          <w:sz w:val="28"/>
          <w:szCs w:val="28"/>
        </w:rPr>
        <w:t>必须</w:t>
      </w:r>
      <w:r>
        <w:rPr>
          <w:rFonts w:hint="eastAsia" w:ascii="宋体" w:hAnsi="宋体" w:eastAsia="宋体" w:cs="宋体"/>
          <w:b/>
          <w:bCs/>
          <w:sz w:val="28"/>
          <w:szCs w:val="28"/>
        </w:rPr>
        <w:t>满足项</w:t>
      </w:r>
    </w:p>
    <w:tbl>
      <w:tblPr>
        <w:tblStyle w:val="7"/>
        <w:tblW w:w="8707"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1"/>
        <w:gridCol w:w="1380"/>
        <w:gridCol w:w="66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基本要求</w:t>
            </w: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操作系统</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安全操作系统采用冗余设计，出于安全性考虑，多系统需在设备启动过程中进行选择不得在WEB维护界面中设置系统切换选项。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系统性能</w:t>
            </w: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★性能指标</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吞吐率≥8Gbps，最大并发连接数≥220万；每秒新建连接≥20万；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硬件配置</w:t>
            </w: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★硬件指标</w:t>
            </w:r>
          </w:p>
        </w:tc>
        <w:tc>
          <w:tcPr>
            <w:tcW w:w="6656" w:type="dxa"/>
            <w:shd w:val="clear" w:color="auto" w:fill="auto"/>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标准机架式机箱 ；默认配置6个10/100/1000BASE-T接口和2个SFP光口插槽，2个可插拨的扩展槽（可扩展16个千兆接口或4个万兆接口）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网络</w:t>
            </w:r>
          </w:p>
          <w:p>
            <w:pPr>
              <w:widowControl/>
              <w:autoSpaceDE w:val="0"/>
              <w:autoSpaceDN w:val="0"/>
              <w:rPr>
                <w:rFonts w:ascii="宋体" w:hAnsi="宋体" w:eastAsia="宋体" w:cs="宋体"/>
                <w:sz w:val="18"/>
                <w:szCs w:val="18"/>
              </w:rPr>
            </w:pPr>
            <w:r>
              <w:rPr>
                <w:rFonts w:hint="eastAsia" w:ascii="宋体" w:hAnsi="宋体" w:eastAsia="宋体" w:cs="宋体"/>
                <w:sz w:val="18"/>
                <w:szCs w:val="18"/>
              </w:rPr>
              <w:t>接入</w:t>
            </w: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工作模式</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 xml:space="preserve">支持路由、交换、混合、虚拟线工作模式；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17"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路由交换</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支持静态路由、ISP路由及动态路由协议，支持802.1q、QinQ模式；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支持基于源/目的地址、源/目的端口、用户、应用的策略路由，保证关键业务流量通过优质链路转发；</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6"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智能DNS</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支持智能DNS及DNS Docting功能，能够将来自内部网络的域名解析请求定向到真实内网资源，提高访问效率，同时支持通过配置多条 DNS Doctoring，实现内网资源服务器的负载均衡。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虚拟系统</w:t>
            </w: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资源虚拟化</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支持在一台物理设备上划分出最大4094个相互独立的虚拟系统，可根据连接配额及连接新建速率为每个虚拟系统分配资源；</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88"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功能虚拟化</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配置文件、系统服务等系统功能虚拟化，支持路由、链路聚合等网络功能虚拟化，支持安全策略、NAT策略、带宽管理、认证策略、IPV6功能、URL过滤、异常行为分析、病毒过滤、内容过滤、审计、报表等安全功能虚拟化；</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应用管控</w:t>
            </w: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★开通用识别功能模块</w:t>
            </w:r>
          </w:p>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强大应用识别引擎，综合运用端口识别、行为识别、特征识别、关联识别等技术手段，准确识别传统应用如P2P、web应用、移动应用、云应用、加密应用等；内置独立应用识别特征库，总数2100种以上，支持应用特征库在线或本地更新，支持应用特征自定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3" w:hRule="atLeast"/>
          <w:jc w:val="center"/>
        </w:trPr>
        <w:tc>
          <w:tcPr>
            <w:tcW w:w="671"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访问控制</w:t>
            </w:r>
          </w:p>
        </w:tc>
        <w:tc>
          <w:tcPr>
            <w:tcW w:w="1380"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一体化访问控制</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高度集成的一体化智能过滤引擎技术，实现在同一条访问控制策略中配置传统的五元组信息、用户、域名、应用、服务、时间、安全引擎（入侵防御、URL过滤、病毒过滤、数据防泄漏DLP、内容过滤、文件过滤、审计、APT）的识别与控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1"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访问控制策略执行动作支持允许、禁止及认证，对符合条件的流量进行Web认证，在策略中可设置用户 Web 认证的门户地址。</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安全防护</w:t>
            </w: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★开通入侵防御功能模块</w:t>
            </w:r>
          </w:p>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攻击检测引擎，采用协议分析、模式识别、统计阀值和流量异常监视等综合技术手段来判断入侵行为；支持web攻击识别和防护，如跨站脚本攻击、SQL注入攻击；支持超过4200+攻击特征库，同时支持自定义特征库,且厂商具备强大的漏洞和功放研究能力，为CNNVD一级支撑单位，能够确保每周至少更新1次攻击特征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未知威胁防御</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支持APT防御，不依赖于攻击、恶意代码等特征库进行检测，通过沙箱技术对于未知漏洞攻击（0day/1day漏洞）、木马、病毒具有检测能力；可根据用户环境，将APT工作模式设置为深度模式或者智能模式。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支持异常行为检测，内置统计智能学习算法，对特定地址对象建立监控策略，基于新建、并发、流量等数据与上一周期记录值进行比较判定是否异常，如果存在异常则报警。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2"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DDOS防御</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内置流量检测清洗引擎，支持基于IP、ICMP、TCP、UDP、DNS、HTTP、NTP等众多协议类型的防护策略；提供丰富的策略模板，且支持策略模板自定义。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支持基于IP协议的检测清洗，包括但不限于：IP Flood、IP Frag Flood、端口扫描、IP 地址扫描，以及Fraggle、icmp redirect、icmp unreachable、land、ping of death、smurf、route record、source route、tcp flag、tracert、winnuke等异常报文攻击。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4"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支持基于NTP协议的检测清洗，包括NTP REQUEST FLOOD、NTP REPLY FLOOD等攻击检测，支持基于NTP请求限速、NTP响应限速、源认证、会话认证的防御策略。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94"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支持根据DOS/DDOS攻击行为自动添加动态黑/白名单功能，可自定义动态黑/白名单超时时间。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3"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restart"/>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★开通病毒过滤功能模块</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内置病毒检测引擎，支持HTTP/SMTP/POP3/FTP/IM等协议的病毒防御，对每种协议数据流的检测方向可选双向、上传、下载。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82"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内置至少2种专业反病毒厂商或研究机构的病毒特征库，符合等级保护相关标准对网关防病毒特征库和主机防病毒特征库异构的要求</w:t>
            </w:r>
            <w:r>
              <w:rPr>
                <w:rFonts w:hint="eastAsia" w:ascii="宋体" w:hAnsi="宋体" w:cs="宋体"/>
                <w:sz w:val="18"/>
                <w:szCs w:val="18"/>
              </w:rPr>
              <w:t>；</w:t>
            </w:r>
            <w:r>
              <w:rPr>
                <w:rFonts w:hint="eastAsia" w:ascii="宋体" w:hAnsi="宋体" w:eastAsia="宋体" w:cs="宋体"/>
                <w:sz w:val="18"/>
                <w:szCs w:val="18"/>
              </w:rPr>
              <w:t>病毒特征库规模超过400万。</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vMerge w:val="continue"/>
            <w:shd w:val="clear" w:color="auto" w:fill="auto"/>
            <w:vAlign w:val="center"/>
          </w:tcPr>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支持病毒白名单，用户可以根据实际业务需求将特定威胁进行排除</w:t>
            </w:r>
            <w:r>
              <w:rPr>
                <w:rFonts w:hint="eastAsia" w:ascii="宋体" w:hAnsi="宋体" w:cs="宋体"/>
                <w:sz w:val="18"/>
                <w:szCs w:val="18"/>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★开通URL过滤功能模块</w:t>
            </w:r>
          </w:p>
          <w:p>
            <w:pPr>
              <w:widowControl/>
              <w:autoSpaceDE w:val="0"/>
              <w:autoSpaceDN w:val="0"/>
              <w:rPr>
                <w:rFonts w:ascii="宋体" w:hAnsi="宋体" w:eastAsia="宋体" w:cs="宋体"/>
                <w:sz w:val="18"/>
                <w:szCs w:val="18"/>
              </w:rPr>
            </w:pP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内置互联网URL分类库，支持超过80大类、2500万的URL地址分类库，用户可根据上述网站类别，对自身网络的WEB应用实施全面化管控，杜绝非法、违规网站的访问行为，从而净化网络应用环境；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799" w:hRule="atLeast"/>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★DLP数据防泄漏</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内置DLP数据防泄漏引擎，可针对发送者或接收者模式配置独立的DLP策略，对数据进行监控识别，达到敏感数据防护目的。</w:t>
            </w:r>
          </w:p>
          <w:p>
            <w:pPr>
              <w:widowControl/>
              <w:autoSpaceDE w:val="0"/>
              <w:autoSpaceDN w:val="0"/>
              <w:rPr>
                <w:rFonts w:ascii="宋体" w:hAnsi="宋体" w:eastAsia="宋体" w:cs="宋体"/>
                <w:sz w:val="18"/>
                <w:szCs w:val="18"/>
              </w:rPr>
            </w:pPr>
            <w:r>
              <w:rPr>
                <w:rFonts w:hint="eastAsia" w:ascii="宋体" w:hAnsi="宋体" w:eastAsia="宋体" w:cs="宋体"/>
                <w:sz w:val="18"/>
                <w:szCs w:val="18"/>
              </w:rPr>
              <w:t>为提高产品的可用性，需支持识别的加密文件格式不少于12种；压缩文件格式不少于25种，如RAR、ZIP、GZ、TAR等；支持识别Linux，Unix等非Winodws的文件类型；支持识别异常文件格式类型；支持识别自定义文件类型。</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配置维护</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支持多个配置文件并存，配置文件数量不少于20个。</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jc w:val="center"/>
        </w:trPr>
        <w:tc>
          <w:tcPr>
            <w:tcW w:w="671" w:type="dxa"/>
            <w:vMerge w:val="continue"/>
            <w:shd w:val="clear" w:color="auto" w:fill="auto"/>
            <w:vAlign w:val="center"/>
          </w:tcPr>
          <w:p>
            <w:pPr>
              <w:widowControl/>
              <w:autoSpaceDE w:val="0"/>
              <w:autoSpaceDN w:val="0"/>
              <w:rPr>
                <w:rFonts w:ascii="宋体" w:hAnsi="宋体" w:eastAsia="宋体" w:cs="宋体"/>
                <w:sz w:val="18"/>
                <w:szCs w:val="18"/>
              </w:rPr>
            </w:pPr>
          </w:p>
        </w:tc>
        <w:tc>
          <w:tcPr>
            <w:tcW w:w="1380"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升级维护</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支持多个系统升级包并存，系统升级包文件数量不少于5个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1" w:hRule="atLeast"/>
          <w:jc w:val="center"/>
        </w:trPr>
        <w:tc>
          <w:tcPr>
            <w:tcW w:w="2051" w:type="dxa"/>
            <w:gridSpan w:val="2"/>
            <w:shd w:val="clear" w:color="auto" w:fill="auto"/>
          </w:tcPr>
          <w:p>
            <w:pPr>
              <w:widowControl/>
              <w:autoSpaceDE w:val="0"/>
              <w:autoSpaceDN w:val="0"/>
              <w:rPr>
                <w:rFonts w:ascii="宋体" w:hAnsi="宋体" w:eastAsia="宋体" w:cs="宋体"/>
                <w:sz w:val="18"/>
                <w:szCs w:val="18"/>
              </w:rPr>
            </w:pPr>
            <w:r>
              <w:rPr>
                <w:rFonts w:hint="eastAsia" w:ascii="宋体" w:hAnsi="宋体" w:eastAsia="宋体" w:cs="宋体"/>
                <w:sz w:val="18"/>
                <w:szCs w:val="18"/>
              </w:rPr>
              <w:t>★其他</w:t>
            </w:r>
          </w:p>
        </w:tc>
        <w:tc>
          <w:tcPr>
            <w:tcW w:w="6656" w:type="dxa"/>
            <w:shd w:val="clear" w:color="auto" w:fill="auto"/>
            <w:vAlign w:val="center"/>
          </w:tcPr>
          <w:p>
            <w:pPr>
              <w:widowControl/>
              <w:autoSpaceDE w:val="0"/>
              <w:autoSpaceDN w:val="0"/>
              <w:rPr>
                <w:rFonts w:ascii="宋体" w:hAnsi="宋体" w:eastAsia="宋体" w:cs="宋体"/>
                <w:sz w:val="18"/>
                <w:szCs w:val="18"/>
              </w:rPr>
            </w:pPr>
            <w:r>
              <w:rPr>
                <w:rFonts w:hint="eastAsia" w:ascii="宋体" w:hAnsi="宋体" w:eastAsia="宋体" w:cs="宋体"/>
                <w:sz w:val="18"/>
                <w:szCs w:val="18"/>
              </w:rPr>
              <w:t>提供原厂针对本项目三年</w:t>
            </w:r>
            <w:r>
              <w:rPr>
                <w:rFonts w:hint="eastAsia" w:ascii="宋体" w:hAnsi="宋体" w:cs="宋体"/>
                <w:sz w:val="18"/>
                <w:szCs w:val="18"/>
              </w:rPr>
              <w:t>免费</w:t>
            </w:r>
            <w:r>
              <w:rPr>
                <w:rFonts w:hint="eastAsia" w:ascii="宋体" w:hAnsi="宋体" w:eastAsia="宋体" w:cs="宋体"/>
                <w:sz w:val="18"/>
                <w:szCs w:val="18"/>
              </w:rPr>
              <w:t>售后服务</w:t>
            </w:r>
            <w:r>
              <w:rPr>
                <w:rFonts w:hint="eastAsia" w:ascii="宋体" w:hAnsi="宋体" w:cs="宋体"/>
                <w:sz w:val="18"/>
                <w:szCs w:val="18"/>
              </w:rPr>
              <w:t>承诺</w:t>
            </w:r>
            <w:r>
              <w:rPr>
                <w:rFonts w:hint="eastAsia" w:ascii="宋体" w:hAnsi="宋体" w:eastAsia="宋体" w:cs="宋体"/>
                <w:sz w:val="18"/>
                <w:szCs w:val="18"/>
              </w:rPr>
              <w:t>函； 所有模块提供三年特征库</w:t>
            </w:r>
            <w:r>
              <w:rPr>
                <w:rFonts w:hint="eastAsia" w:ascii="宋体" w:hAnsi="宋体" w:cs="宋体"/>
                <w:sz w:val="18"/>
                <w:szCs w:val="18"/>
              </w:rPr>
              <w:t>免费</w:t>
            </w:r>
            <w:r>
              <w:rPr>
                <w:rFonts w:hint="eastAsia" w:ascii="宋体" w:hAnsi="宋体" w:eastAsia="宋体" w:cs="宋体"/>
                <w:sz w:val="18"/>
                <w:szCs w:val="18"/>
              </w:rPr>
              <w:t>升级。</w:t>
            </w:r>
          </w:p>
        </w:tc>
      </w:tr>
    </w:tbl>
    <w:p>
      <w:pPr>
        <w:rPr>
          <w:rFonts w:ascii="宋体" w:hAnsi="宋体" w:eastAsia="宋体" w:cs="宋体"/>
          <w:sz w:val="18"/>
          <w:szCs w:val="18"/>
        </w:rPr>
      </w:pPr>
    </w:p>
    <w:p>
      <w:pPr>
        <w:pStyle w:val="2"/>
        <w:rPr>
          <w:rFonts w:ascii="宋体" w:hAnsi="宋体" w:eastAsia="宋体" w:cs="宋体"/>
          <w:sz w:val="18"/>
          <w:szCs w:val="18"/>
        </w:rPr>
      </w:pPr>
    </w:p>
    <w:p>
      <w:pPr>
        <w:rPr>
          <w:rFonts w:ascii="宋体" w:hAnsi="宋体" w:eastAsia="宋体" w:cs="宋体"/>
          <w:sz w:val="18"/>
          <w:szCs w:val="18"/>
        </w:rPr>
      </w:pPr>
    </w:p>
    <w:p>
      <w:pPr>
        <w:pStyle w:val="2"/>
      </w:pPr>
    </w:p>
    <w:p/>
    <w:p>
      <w:pPr>
        <w:pStyle w:val="2"/>
      </w:pPr>
    </w:p>
    <w:p/>
    <w:p>
      <w:pPr>
        <w:pStyle w:val="2"/>
      </w:pPr>
    </w:p>
    <w:p/>
    <w:p>
      <w:pPr>
        <w:pStyle w:val="2"/>
      </w:pPr>
    </w:p>
    <w:p/>
    <w:p>
      <w:pPr>
        <w:rPr>
          <w:rFonts w:ascii="宋体" w:hAnsi="宋体" w:eastAsia="宋体" w:cs="宋体"/>
          <w:sz w:val="18"/>
          <w:szCs w:val="18"/>
        </w:rPr>
      </w:pPr>
    </w:p>
    <w:p>
      <w:pPr>
        <w:rPr>
          <w:rFonts w:ascii="宋体" w:hAnsi="宋体" w:cs="宋体"/>
          <w:b/>
          <w:bCs/>
          <w:sz w:val="28"/>
          <w:szCs w:val="28"/>
        </w:rPr>
      </w:pPr>
    </w:p>
    <w:p>
      <w:pPr>
        <w:rPr>
          <w:rFonts w:hint="eastAsia" w:ascii="宋体" w:hAnsi="宋体" w:eastAsia="宋体" w:cs="宋体"/>
          <w:b/>
          <w:bCs/>
          <w:sz w:val="28"/>
          <w:szCs w:val="28"/>
        </w:rPr>
      </w:pPr>
    </w:p>
    <w:p>
      <w:pPr>
        <w:rPr>
          <w:rFonts w:ascii="宋体" w:hAnsi="宋体" w:eastAsia="宋体" w:cs="宋体"/>
          <w:b/>
          <w:bCs/>
          <w:sz w:val="28"/>
          <w:szCs w:val="28"/>
        </w:rPr>
      </w:pPr>
      <w:r>
        <w:rPr>
          <w:rFonts w:hint="eastAsia" w:ascii="宋体" w:hAnsi="宋体" w:eastAsia="宋体" w:cs="宋体"/>
          <w:b/>
          <w:bCs/>
          <w:sz w:val="28"/>
          <w:szCs w:val="28"/>
        </w:rPr>
        <w:t>2、华三MSR5620路由器  打★为必须满足项</w:t>
      </w:r>
    </w:p>
    <w:tbl>
      <w:tblPr>
        <w:tblStyle w:val="7"/>
        <w:tblpPr w:leftFromText="181" w:rightFromText="181" w:vertAnchor="text" w:horzAnchor="page" w:tblpXSpec="center" w:tblpY="1"/>
        <w:tblOverlap w:val="never"/>
        <w:tblW w:w="8789"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76"/>
        <w:gridCol w:w="691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ind w:firstLine="181" w:firstLineChars="100"/>
              <w:rPr>
                <w:rFonts w:ascii="宋体" w:hAnsi="宋体" w:eastAsia="宋体" w:cs="宋体"/>
                <w:b/>
                <w:color w:val="000000" w:themeColor="text1"/>
                <w:sz w:val="18"/>
                <w:szCs w:val="18"/>
                <w14:textFill>
                  <w14:solidFill>
                    <w14:schemeClr w14:val="tx1"/>
                  </w14:solidFill>
                </w14:textFill>
              </w:rPr>
            </w:pPr>
            <w:r>
              <w:rPr>
                <w:rFonts w:hint="eastAsia" w:ascii="宋体" w:hAnsi="宋体" w:eastAsia="宋体" w:cs="宋体"/>
                <w:b/>
                <w:color w:val="000000" w:themeColor="text1"/>
                <w:sz w:val="18"/>
                <w:szCs w:val="18"/>
                <w14:textFill>
                  <w14:solidFill>
                    <w14:schemeClr w14:val="tx1"/>
                  </w14:solidFill>
                </w14:textFill>
              </w:rPr>
              <w:t>功能及技术指标</w:t>
            </w:r>
          </w:p>
        </w:tc>
        <w:tc>
          <w:tcPr>
            <w:tcW w:w="6913" w:type="dxa"/>
            <w:tcBorders>
              <w:top w:val="single" w:color="auto" w:sz="4" w:space="0"/>
              <w:left w:val="single" w:color="auto" w:sz="4" w:space="0"/>
              <w:bottom w:val="single" w:color="auto" w:sz="4" w:space="0"/>
              <w:right w:val="single" w:color="auto" w:sz="4" w:space="0"/>
            </w:tcBorders>
          </w:tcPr>
          <w:p>
            <w:pPr>
              <w:jc w:val="center"/>
              <w:rPr>
                <w:rFonts w:ascii="宋体" w:hAnsi="宋体" w:eastAsia="宋体" w:cs="宋体"/>
                <w:b/>
                <w:color w:val="000000" w:themeColor="text1"/>
                <w:sz w:val="18"/>
                <w:szCs w:val="18"/>
                <w14:textFill>
                  <w14:solidFill>
                    <w14:schemeClr w14:val="tx1"/>
                  </w14:solidFill>
                </w14:textFill>
              </w:rPr>
            </w:pPr>
            <w:r>
              <w:rPr>
                <w:rFonts w:hint="eastAsia" w:ascii="宋体" w:hAnsi="宋体" w:eastAsia="宋体" w:cs="宋体"/>
                <w:b/>
                <w:color w:val="000000" w:themeColor="text1"/>
                <w:sz w:val="18"/>
                <w:szCs w:val="18"/>
                <w14:textFill>
                  <w14:solidFill>
                    <w14:schemeClr w14:val="tx1"/>
                  </w14:solidFill>
                </w14:textFill>
              </w:rPr>
              <w:t>参数要求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47" w:hRule="atLeast"/>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★接口模块插槽数</w:t>
            </w:r>
          </w:p>
        </w:tc>
        <w:tc>
          <w:tcPr>
            <w:tcW w:w="6913" w:type="dxa"/>
            <w:tcBorders>
              <w:top w:val="single" w:color="auto" w:sz="4" w:space="0"/>
              <w:left w:val="single" w:color="auto" w:sz="4" w:space="0"/>
              <w:bottom w:val="single" w:color="auto" w:sz="4" w:space="0"/>
              <w:right w:val="single" w:color="auto" w:sz="4" w:space="0"/>
            </w:tcBorders>
          </w:tcPr>
          <w:p>
            <w:pPr>
              <w:pStyle w:val="11"/>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362" w:hRule="atLeast"/>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★架构</w:t>
            </w:r>
          </w:p>
        </w:tc>
        <w:tc>
          <w:tcPr>
            <w:tcW w:w="6913" w:type="dxa"/>
            <w:tcBorders>
              <w:top w:val="single" w:color="auto" w:sz="4" w:space="0"/>
              <w:left w:val="single" w:color="auto" w:sz="4" w:space="0"/>
              <w:bottom w:val="single" w:color="auto" w:sz="4" w:space="0"/>
              <w:right w:val="single" w:color="auto" w:sz="4" w:space="0"/>
            </w:tcBorders>
          </w:tcPr>
          <w:p>
            <w:pPr>
              <w:pStyle w:val="11"/>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模块化路由器，控制/转发平面分离；支持冗余主控。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 xml:space="preserve">★固定端口数 </w:t>
            </w:r>
          </w:p>
        </w:tc>
        <w:tc>
          <w:tcPr>
            <w:tcW w:w="6913" w:type="dxa"/>
            <w:tcBorders>
              <w:top w:val="single" w:color="auto" w:sz="4" w:space="0"/>
              <w:left w:val="single" w:color="auto" w:sz="4" w:space="0"/>
              <w:bottom w:val="single" w:color="auto" w:sz="4" w:space="0"/>
              <w:right w:val="single" w:color="auto" w:sz="4" w:space="0"/>
            </w:tcBorders>
          </w:tcPr>
          <w:p>
            <w:pPr>
              <w:pStyle w:val="11"/>
              <w:tabs>
                <w:tab w:val="left" w:pos="1181"/>
              </w:tabs>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3GE(COMBO)+2SFP+</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 xml:space="preserve">★性能 </w:t>
            </w:r>
          </w:p>
        </w:tc>
        <w:tc>
          <w:tcPr>
            <w:tcW w:w="6913" w:type="dxa"/>
            <w:tcBorders>
              <w:top w:val="single" w:color="auto" w:sz="4" w:space="0"/>
              <w:left w:val="single" w:color="auto" w:sz="4" w:space="0"/>
              <w:bottom w:val="single" w:color="auto" w:sz="4" w:space="0"/>
              <w:right w:val="single" w:color="auto" w:sz="4" w:space="0"/>
            </w:tcBorders>
          </w:tcPr>
          <w:p>
            <w:pPr>
              <w:pStyle w:val="11"/>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包转发能力16MPPS_214MPPS，带业务的IPv4性能（IMIX）≥3Gbps</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电源</w:t>
            </w:r>
          </w:p>
        </w:tc>
        <w:tc>
          <w:tcPr>
            <w:tcW w:w="6913" w:type="dxa"/>
            <w:tcBorders>
              <w:top w:val="single" w:color="auto" w:sz="4" w:space="0"/>
              <w:left w:val="single" w:color="auto" w:sz="4" w:space="0"/>
              <w:bottom w:val="single" w:color="auto" w:sz="4" w:space="0"/>
              <w:right w:val="single" w:color="auto" w:sz="4" w:space="0"/>
            </w:tcBorders>
          </w:tcPr>
          <w:p>
            <w:pPr>
              <w:pStyle w:val="11"/>
              <w:rPr>
                <w:rFonts w:hint="eastAsia" w:eastAsia="宋体"/>
                <w:color w:val="000000" w:themeColor="text1"/>
                <w:kern w:val="2"/>
                <w:sz w:val="18"/>
                <w:szCs w:val="18"/>
                <w:lang w:val="en-US" w:eastAsia="zh-CN"/>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支持内置电源数≥</w:t>
            </w:r>
            <w:r>
              <w:rPr>
                <w:rFonts w:hint="eastAsia" w:eastAsia="宋体"/>
                <w:color w:val="000000" w:themeColor="text1"/>
                <w:kern w:val="2"/>
                <w:sz w:val="18"/>
                <w:szCs w:val="18"/>
                <w:lang w:val="en-US" w:eastAsia="zh-CN"/>
                <w14:textFill>
                  <w14:solidFill>
                    <w14:schemeClr w14:val="tx1"/>
                  </w14:solidFill>
                </w14:textFill>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 xml:space="preserve">★接口类型 </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支持E3/CE3,1/2端口CPOS，155M ATM，8端口E1/E1-F接口、同步串口等广域网接口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★安全特性</w:t>
            </w:r>
          </w:p>
        </w:tc>
        <w:tc>
          <w:tcPr>
            <w:tcW w:w="6913" w:type="dxa"/>
            <w:tcBorders>
              <w:top w:val="single" w:color="auto" w:sz="4" w:space="0"/>
              <w:left w:val="single" w:color="auto" w:sz="4" w:space="0"/>
              <w:bottom w:val="single" w:color="auto" w:sz="4" w:space="0"/>
              <w:right w:val="single" w:color="auto" w:sz="4" w:space="0"/>
            </w:tcBorders>
          </w:tcPr>
          <w:p>
            <w:pPr>
              <w:pStyle w:val="11"/>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支持PORTAL，PPPoE Client&amp;Server， 802.1x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局域网协议</w:t>
            </w:r>
          </w:p>
        </w:tc>
        <w:tc>
          <w:tcPr>
            <w:tcW w:w="6913" w:type="dxa"/>
            <w:tcBorders>
              <w:top w:val="single" w:color="auto" w:sz="4" w:space="0"/>
              <w:left w:val="single" w:color="auto" w:sz="4" w:space="0"/>
              <w:bottom w:val="single" w:color="auto" w:sz="4" w:space="0"/>
              <w:right w:val="single" w:color="auto" w:sz="4" w:space="0"/>
            </w:tcBorders>
          </w:tcPr>
          <w:p>
            <w:pPr>
              <w:pStyle w:val="11"/>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Ethernet，Ethernet II，VLAN（VLAN-BASED PORT VLAN，VOICE VLAN，Guest VLAN），802.3x， 802.1p，802.1Q，802.1x</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★虚拟化</w:t>
            </w:r>
          </w:p>
        </w:tc>
        <w:tc>
          <w:tcPr>
            <w:tcW w:w="6913" w:type="dxa"/>
            <w:tcBorders>
              <w:top w:val="single" w:color="auto" w:sz="4" w:space="0"/>
              <w:left w:val="single" w:color="auto" w:sz="4" w:space="0"/>
              <w:bottom w:val="single" w:color="auto" w:sz="4" w:space="0"/>
              <w:right w:val="single" w:color="auto" w:sz="4" w:space="0"/>
            </w:tcBorders>
            <w:vAlign w:val="center"/>
          </w:tcPr>
          <w:p>
            <w:pPr>
              <w:jc w:val="left"/>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支持网络设备虚拟化功能，支持将多台物理设备虚拟成一台逻辑设备，提升链路利用率，支持跨设备链路聚合。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广域网协议</w:t>
            </w:r>
          </w:p>
        </w:tc>
        <w:tc>
          <w:tcPr>
            <w:tcW w:w="6913" w:type="dxa"/>
            <w:tcBorders>
              <w:top w:val="single" w:color="auto" w:sz="4" w:space="0"/>
              <w:left w:val="single" w:color="auto" w:sz="4" w:space="0"/>
              <w:bottom w:val="single" w:color="auto" w:sz="4" w:space="0"/>
              <w:right w:val="single" w:color="auto" w:sz="4" w:space="0"/>
            </w:tcBorders>
          </w:tcPr>
          <w:p>
            <w:pPr>
              <w:pStyle w:val="11"/>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PPP、PPPoE Client、PPPoE Server</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IP路由</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支持静态路由、RIP/RIPng、OSPF、OSPFv3、BGP、IS-IS、IGMP、MLD V1/V2、PIM-DM、PIM-SM、PIM SSM、MBGP、MSDP、路由策略等路由协议和策略。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 xml:space="preserve">MPLS </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支持LDP，LSPM，MPLS TE，MPLS FW，MPLS/BGP VPN，L2VPN，MPLS支持组播；支持基本的MPLS 和 TE功能 ，支持RSVP-TE（RSVP流量工程扩展协议）；支持静态建立LSP隧道，LSP隧道优先级，LSP隧道抢占。</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 xml:space="preserve">IPv6特性 </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支持Ipv6 ND，Ipv6 PMTU，Ipv6 FIB，Ipv6 ACL，NAT-PT，Ipv6隧道，6PE、DS-LITE；</w:t>
            </w:r>
          </w:p>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支持IPv6隧道技术：手工隧道，自动隧道，GRE隧道，6to4，ISATAP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QoS</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提供完善的QoS机制：支持PQ、CQ、WFQ、CBWFQ等调度技术，支持基于ACL，IP Precedence，ATM CLP，802.1P，DAR流量分类，支持流量整形以及WRED拥塞避免机制。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虚拟路由器</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支持把路由器在逻辑上划分为多台虚拟的路由器，每台虚拟路由器有自己独立的路由表和相应的参与数据转发的接口。</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可靠性</w:t>
            </w:r>
          </w:p>
        </w:tc>
        <w:tc>
          <w:tcPr>
            <w:tcW w:w="6913" w:type="dxa"/>
            <w:tcBorders>
              <w:top w:val="single" w:color="auto" w:sz="4" w:space="0"/>
              <w:left w:val="single" w:color="auto" w:sz="4" w:space="0"/>
              <w:bottom w:val="single" w:color="auto" w:sz="4" w:space="0"/>
              <w:right w:val="single" w:color="auto" w:sz="4" w:space="0"/>
            </w:tcBorders>
          </w:tcPr>
          <w:p>
            <w:pPr>
              <w:pStyle w:val="11"/>
              <w:rPr>
                <w:rFonts w:eastAsia="宋体"/>
                <w:color w:val="000000" w:themeColor="text1"/>
                <w:kern w:val="2"/>
                <w:sz w:val="18"/>
                <w:szCs w:val="18"/>
                <w14:textFill>
                  <w14:solidFill>
                    <w14:schemeClr w14:val="tx1"/>
                  </w14:solidFill>
                </w14:textFill>
              </w:rPr>
            </w:pPr>
            <w:r>
              <w:rPr>
                <w:rFonts w:hint="eastAsia" w:eastAsia="宋体"/>
                <w:color w:val="000000" w:themeColor="text1"/>
                <w:kern w:val="2"/>
                <w:sz w:val="18"/>
                <w:szCs w:val="18"/>
                <w14:textFill>
                  <w14:solidFill>
                    <w14:schemeClr w14:val="tx1"/>
                  </w14:solidFill>
                </w14:textFill>
              </w:rPr>
              <w:t>支持VRRP，支持VRRPv3，支持基于带宽的负载分担与备份，支持基于用户（IP地址）的负载分担与备份。</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★数据中心特性</w:t>
            </w:r>
          </w:p>
        </w:tc>
        <w:tc>
          <w:tcPr>
            <w:tcW w:w="6913"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themeColor="text1"/>
                <w:sz w:val="18"/>
                <w:szCs w:val="18"/>
                <w14:textFill>
                  <w14:solidFill>
                    <w14:schemeClr w14:val="tx1"/>
                  </w14:solidFill>
                </w14:textFill>
              </w:rPr>
            </w:pPr>
            <w:r>
              <w:rPr>
                <w:rFonts w:hint="eastAsia" w:ascii="宋体" w:hAnsi="宋体" w:cs="宋体"/>
                <w:color w:val="000000" w:themeColor="text1"/>
                <w:sz w:val="18"/>
                <w:szCs w:val="18"/>
                <w14:textFill>
                  <w14:solidFill>
                    <w14:schemeClr w14:val="tx1"/>
                  </w14:solidFill>
                </w14:textFill>
              </w:rPr>
              <w:t>具备</w:t>
            </w:r>
            <w:r>
              <w:rPr>
                <w:rFonts w:hint="eastAsia" w:ascii="宋体" w:hAnsi="宋体" w:eastAsia="宋体" w:cs="宋体"/>
                <w:color w:val="000000" w:themeColor="text1"/>
                <w:sz w:val="18"/>
                <w:szCs w:val="18"/>
                <w14:textFill>
                  <w14:solidFill>
                    <w14:schemeClr w14:val="tx1"/>
                  </w14:solidFill>
                </w14:textFill>
              </w:rPr>
              <w:t>以太网二层虚拟化互联（EVI）特性。</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★嵌入式自动化架构</w:t>
            </w:r>
          </w:p>
        </w:tc>
        <w:tc>
          <w:tcPr>
            <w:tcW w:w="6913" w:type="dxa"/>
            <w:tcBorders>
              <w:top w:val="single" w:color="auto" w:sz="4" w:space="0"/>
              <w:left w:val="single" w:color="auto" w:sz="4" w:space="0"/>
              <w:bottom w:val="single" w:color="auto" w:sz="4" w:space="0"/>
              <w:right w:val="single" w:color="auto" w:sz="4" w:space="0"/>
            </w:tcBorders>
            <w:vAlign w:val="center"/>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设备支持对系统软硬件部件的内部事件、状态进行监控，出现问题时收集实时信息并自动修复,并能将实时信息发送到指定的服务器</w:t>
            </w:r>
            <w:r>
              <w:rPr>
                <w:rFonts w:hint="eastAsia" w:ascii="宋体" w:hAnsi="宋体" w:cs="宋体"/>
                <w:color w:val="000000" w:themeColor="text1"/>
                <w:sz w:val="18"/>
                <w:szCs w:val="18"/>
                <w14:textFill>
                  <w14:solidFill>
                    <w14:schemeClr w14:val="tx1"/>
                  </w14:solidFill>
                </w14:textFill>
              </w:rPr>
              <w:t xml:space="preserve">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 xml:space="preserve">管理特性 </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支持SYSLOG、 SNMP V1/V2/V3、RMON 1/2/3/9；</w:t>
            </w:r>
          </w:p>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支持零配置部署，可实现零配置方式下的批量设备开局，通过短信实现设备的零开局，并且在误配置时可自动实现设备配置的回退；</w:t>
            </w:r>
          </w:p>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设备支持对系统软硬件部件的内部事件、状态进行监控，出现问题时收集实时信息并自动修复,并能将实时信息发送到指定的Email邮箱。</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BFD</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color w:val="000000" w:themeColor="text1"/>
                <w:sz w:val="18"/>
                <w:szCs w:val="18"/>
                <w14:textFill>
                  <w14:solidFill>
                    <w14:schemeClr w14:val="tx1"/>
                  </w14:solidFill>
                </w14:textFill>
              </w:rPr>
              <w:t>支持BFD快速链路检测，并能够同RIP、OSPF、BGP、MPLS、VRRP实现联动，以实现路由和链路的快速切换。</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blHeader/>
          <w:jc w:val="center"/>
        </w:trPr>
        <w:tc>
          <w:tcPr>
            <w:tcW w:w="1876"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eastAsia="宋体" w:cs="宋体"/>
                <w:sz w:val="18"/>
                <w:szCs w:val="18"/>
              </w:rPr>
              <w:t>★其他</w:t>
            </w:r>
          </w:p>
        </w:tc>
        <w:tc>
          <w:tcPr>
            <w:tcW w:w="6913" w:type="dxa"/>
            <w:tcBorders>
              <w:top w:val="single" w:color="auto" w:sz="4" w:space="0"/>
              <w:left w:val="single" w:color="auto" w:sz="4" w:space="0"/>
              <w:bottom w:val="single" w:color="auto" w:sz="4" w:space="0"/>
              <w:right w:val="single" w:color="auto" w:sz="4" w:space="0"/>
            </w:tcBorders>
          </w:tcPr>
          <w:p>
            <w:pPr>
              <w:rPr>
                <w:rFonts w:ascii="宋体" w:hAnsi="宋体" w:eastAsia="宋体" w:cs="宋体"/>
                <w:color w:val="000000" w:themeColor="text1"/>
                <w:sz w:val="18"/>
                <w:szCs w:val="18"/>
                <w14:textFill>
                  <w14:solidFill>
                    <w14:schemeClr w14:val="tx1"/>
                  </w14:solidFill>
                </w14:textFill>
              </w:rPr>
            </w:pPr>
            <w:r>
              <w:rPr>
                <w:rFonts w:hint="eastAsia" w:ascii="宋体" w:hAnsi="宋体" w:cs="宋体"/>
                <w:sz w:val="18"/>
                <w:szCs w:val="18"/>
              </w:rPr>
              <w:t>产品一</w:t>
            </w:r>
            <w:r>
              <w:rPr>
                <w:rFonts w:hint="eastAsia" w:ascii="宋体" w:hAnsi="宋体" w:eastAsia="宋体" w:cs="宋体"/>
                <w:sz w:val="18"/>
                <w:szCs w:val="18"/>
              </w:rPr>
              <w:t>年</w:t>
            </w:r>
            <w:r>
              <w:rPr>
                <w:rFonts w:hint="eastAsia" w:ascii="宋体" w:hAnsi="宋体" w:cs="宋体"/>
                <w:sz w:val="18"/>
                <w:szCs w:val="18"/>
              </w:rPr>
              <w:t>免费</w:t>
            </w:r>
            <w:r>
              <w:rPr>
                <w:rFonts w:hint="eastAsia" w:ascii="宋体" w:hAnsi="宋体" w:eastAsia="宋体" w:cs="宋体"/>
                <w:sz w:val="18"/>
                <w:szCs w:val="18"/>
              </w:rPr>
              <w:t>售后服务。</w:t>
            </w:r>
          </w:p>
        </w:tc>
      </w:tr>
    </w:tbl>
    <w:p>
      <w:pPr>
        <w:rPr>
          <w:rFonts w:ascii="仿宋_GB2312" w:hAnsi="仿宋" w:eastAsia="仿宋_GB2312" w:cs="仿宋"/>
          <w:snapToGrid w:val="0"/>
          <w:kern w:val="0"/>
          <w:sz w:val="32"/>
          <w:szCs w:val="32"/>
        </w:rPr>
        <w:sectPr>
          <w:headerReference r:id="rId3" w:type="default"/>
          <w:footerReference r:id="rId4" w:type="default"/>
          <w:pgSz w:w="11906" w:h="16838"/>
          <w:pgMar w:top="1213" w:right="1800" w:bottom="1213" w:left="1800" w:header="851" w:footer="992" w:gutter="0"/>
          <w:pgNumType w:fmt="decimal"/>
          <w:cols w:space="425" w:num="1"/>
          <w:docGrid w:type="lines" w:linePitch="312" w:charSpace="0"/>
        </w:sectPr>
      </w:pPr>
    </w:p>
    <w:p>
      <w:pPr>
        <w:pStyle w:val="2"/>
        <w:ind w:left="0" w:leftChars="0" w:firstLine="0" w:firstLineChars="0"/>
      </w:pPr>
      <w:bookmarkStart w:id="0" w:name="_GoBack"/>
      <w:bookmarkEnd w:id="0"/>
    </w:p>
    <w:sectPr>
      <w:type w:val="continuous"/>
      <w:pgSz w:w="11906" w:h="16838"/>
      <w:pgMar w:top="1327" w:right="1800" w:bottom="127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rPr>
        <w:sz w:val="18"/>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4"/>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3</w:t>
                          </w:r>
                          <w:r>
                            <w:rPr>
                              <w:rFonts w:hint="eastAsia"/>
                              <w:lang w:eastAsia="zh-CN"/>
                            </w:rPr>
                            <w:fldChar w:fldCharType="end"/>
                          </w:r>
                          <w:r>
                            <w:rPr>
                              <w:rFonts w:hint="eastAsia"/>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pStyle w:val="4"/>
                      <w:rPr>
                        <w:rFonts w:hint="eastAsia" w:eastAsiaTheme="minorEastAsia"/>
                        <w:lang w:eastAsia="zh-CN"/>
                      </w:rPr>
                    </w:pPr>
                    <w:r>
                      <w:rPr>
                        <w:rFonts w:hint="eastAsia"/>
                        <w:lang w:eastAsia="zh-CN"/>
                      </w:rPr>
                      <w:t xml:space="preserve">第 </w:t>
                    </w: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r>
                      <w:rPr>
                        <w:rFonts w:hint="eastAsia"/>
                        <w:lang w:eastAsia="zh-CN"/>
                      </w:rPr>
                      <w:t xml:space="preserve"> 页 共 </w:t>
                    </w:r>
                    <w:r>
                      <w:rPr>
                        <w:rFonts w:hint="eastAsia"/>
                        <w:lang w:eastAsia="zh-CN"/>
                      </w:rPr>
                      <w:fldChar w:fldCharType="begin"/>
                    </w:r>
                    <w:r>
                      <w:rPr>
                        <w:rFonts w:hint="eastAsia"/>
                        <w:lang w:eastAsia="zh-CN"/>
                      </w:rPr>
                      <w:instrText xml:space="preserve"> NUMPAGES  \* MERGEFORMAT </w:instrText>
                    </w:r>
                    <w:r>
                      <w:rPr>
                        <w:rFonts w:hint="eastAsia"/>
                        <w:lang w:eastAsia="zh-CN"/>
                      </w:rPr>
                      <w:fldChar w:fldCharType="separate"/>
                    </w:r>
                    <w:r>
                      <w:rPr>
                        <w:rFonts w:hint="eastAsia"/>
                        <w:lang w:eastAsia="zh-CN"/>
                      </w:rPr>
                      <w:t>3</w:t>
                    </w:r>
                    <w:r>
                      <w:rPr>
                        <w:rFonts w:hint="eastAsia"/>
                        <w:lang w:eastAsia="zh-CN"/>
                      </w:rPr>
                      <w:fldChar w:fldCharType="end"/>
                    </w:r>
                    <w:r>
                      <w:rPr>
                        <w:rFonts w:hint="eastAsia"/>
                        <w:lang w:eastAsia="zh-CN"/>
                      </w:rPr>
                      <w:t xml:space="preserve"> 页</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5F4C"/>
    <w:rsid w:val="000765AB"/>
    <w:rsid w:val="009F3D72"/>
    <w:rsid w:val="00DD5F4C"/>
    <w:rsid w:val="00E36A0B"/>
    <w:rsid w:val="06B5539C"/>
    <w:rsid w:val="07CA287C"/>
    <w:rsid w:val="08DD0848"/>
    <w:rsid w:val="0C7F7F8B"/>
    <w:rsid w:val="0E8A7DB3"/>
    <w:rsid w:val="17CF51E5"/>
    <w:rsid w:val="1B3F239E"/>
    <w:rsid w:val="1C586C1B"/>
    <w:rsid w:val="26C81EE5"/>
    <w:rsid w:val="342963C0"/>
    <w:rsid w:val="34ED7825"/>
    <w:rsid w:val="38331C78"/>
    <w:rsid w:val="422427D1"/>
    <w:rsid w:val="465813F1"/>
    <w:rsid w:val="4F0E20F1"/>
    <w:rsid w:val="50DF1049"/>
    <w:rsid w:val="533903AE"/>
    <w:rsid w:val="55BA1A71"/>
    <w:rsid w:val="5C674E65"/>
    <w:rsid w:val="5ECE0C72"/>
    <w:rsid w:val="6190579E"/>
    <w:rsid w:val="622A3298"/>
    <w:rsid w:val="63CE2A97"/>
    <w:rsid w:val="6BDB2D0D"/>
    <w:rsid w:val="6C782EC8"/>
    <w:rsid w:val="6F023FF7"/>
    <w:rsid w:val="71827F33"/>
    <w:rsid w:val="737B2834"/>
    <w:rsid w:val="75B443B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qFormat="1" w:uiPriority="39"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Autospacing="1" w:afterAutospacing="1"/>
      <w:jc w:val="left"/>
      <w:outlineLvl w:val="0"/>
    </w:pPr>
    <w:rPr>
      <w:rFonts w:hint="eastAsia" w:ascii="宋体" w:hAnsi="宋体" w:eastAsia="宋体" w:cs="Times New Roman"/>
      <w:b/>
      <w:kern w:val="44"/>
      <w:sz w:val="48"/>
      <w:szCs w:val="48"/>
    </w:rPr>
  </w:style>
  <w:style w:type="character" w:default="1" w:styleId="9">
    <w:name w:val="Default Paragraph Font"/>
    <w:semiHidden/>
    <w:unhideWhenUsed/>
    <w:uiPriority w:val="1"/>
  </w:style>
  <w:style w:type="table" w:default="1" w:styleId="7">
    <w:name w:val="Normal Table"/>
    <w:semiHidden/>
    <w:unhideWhenUsed/>
    <w:qFormat/>
    <w:uiPriority w:val="99"/>
    <w:tblPr>
      <w:tblLayout w:type="fixed"/>
      <w:tblCellMar>
        <w:top w:w="0" w:type="dxa"/>
        <w:left w:w="108" w:type="dxa"/>
        <w:bottom w:w="0" w:type="dxa"/>
        <w:right w:w="108" w:type="dxa"/>
      </w:tblCellMar>
    </w:tblPr>
  </w:style>
  <w:style w:type="paragraph" w:styleId="2">
    <w:name w:val="toc 4"/>
    <w:basedOn w:val="1"/>
    <w:next w:val="1"/>
    <w:semiHidden/>
    <w:unhideWhenUsed/>
    <w:qFormat/>
    <w:uiPriority w:val="39"/>
    <w:pPr>
      <w:ind w:left="1260" w:leftChars="600"/>
    </w:pPr>
  </w:style>
  <w:style w:type="paragraph" w:styleId="4">
    <w:name w:val="footer"/>
    <w:basedOn w:val="1"/>
    <w:link w:val="13"/>
    <w:qFormat/>
    <w:uiPriority w:val="0"/>
    <w:pPr>
      <w:tabs>
        <w:tab w:val="center" w:pos="4153"/>
        <w:tab w:val="right" w:pos="8306"/>
      </w:tabs>
      <w:snapToGrid w:val="0"/>
      <w:jc w:val="left"/>
    </w:pPr>
    <w:rPr>
      <w:sz w:val="18"/>
      <w:szCs w:val="18"/>
    </w:rPr>
  </w:style>
  <w:style w:type="paragraph" w:styleId="5">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rFonts w:cs="Times New Roman"/>
      <w:kern w:val="0"/>
      <w:sz w:val="24"/>
    </w:rPr>
  </w:style>
  <w:style w:type="table" w:styleId="8">
    <w:name w:val="Table Grid"/>
    <w:basedOn w:val="7"/>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0">
    <w:name w:val="Hyperlink"/>
    <w:basedOn w:val="9"/>
    <w:qFormat/>
    <w:uiPriority w:val="0"/>
    <w:rPr>
      <w:color w:val="0000FF"/>
      <w:u w:val="single"/>
    </w:rPr>
  </w:style>
  <w:style w:type="paragraph" w:customStyle="1" w:styleId="11">
    <w:name w:val="tabletext"/>
    <w:basedOn w:val="1"/>
    <w:qFormat/>
    <w:uiPriority w:val="0"/>
    <w:pPr>
      <w:widowControl/>
      <w:spacing w:after="150"/>
      <w:jc w:val="left"/>
    </w:pPr>
    <w:rPr>
      <w:rFonts w:ascii="宋体" w:hAnsi="宋体" w:cs="宋体"/>
      <w:kern w:val="0"/>
      <w:sz w:val="24"/>
    </w:rPr>
  </w:style>
  <w:style w:type="character" w:customStyle="1" w:styleId="12">
    <w:name w:val="页眉 Char"/>
    <w:basedOn w:val="9"/>
    <w:link w:val="5"/>
    <w:qFormat/>
    <w:uiPriority w:val="0"/>
    <w:rPr>
      <w:kern w:val="2"/>
      <w:sz w:val="18"/>
      <w:szCs w:val="18"/>
    </w:rPr>
  </w:style>
  <w:style w:type="character" w:customStyle="1" w:styleId="13">
    <w:name w:val="页脚 Char"/>
    <w:basedOn w:val="9"/>
    <w:link w:val="4"/>
    <w:qFormat/>
    <w:uiPriority w:val="0"/>
    <w:rPr>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706</Words>
  <Characters>4030</Characters>
  <Lines>33</Lines>
  <Paragraphs>9</Paragraphs>
  <TotalTime>5</TotalTime>
  <ScaleCrop>false</ScaleCrop>
  <LinksUpToDate>false</LinksUpToDate>
  <CharactersWithSpaces>4727</CharactersWithSpaces>
  <Application>WPS Office_11.1.0.8584_F1E327BC-269C-435d-A152-05C5408002CA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2019-08-12T02:34:00Z</dcterms:created>
  <dc:creator>Administrator</dc:creator>
  <cp:lastModifiedBy>服廉</cp:lastModifiedBy>
  <cp:lastPrinted>2019-08-13T01:55:00Z</cp:lastPrinted>
  <dcterms:modified xsi:type="dcterms:W3CDTF">2019-08-13T04:33:26Z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2052-11.1.0.8584</vt:lpwstr>
  </property>
</Properties>
</file>